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13" w:rsidRDefault="005F7413" w:rsidP="005F7413">
      <w:pPr>
        <w:pStyle w:val="ecxmsonormal"/>
        <w:shd w:val="clear" w:color="auto" w:fill="FFFFFF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Century Gothic" w:hAnsi="Century Gothic" w:cs="Tahoma"/>
          <w:color w:val="2A2A2A"/>
          <w:sz w:val="22"/>
          <w:szCs w:val="22"/>
          <w:lang w:val="es-ES"/>
        </w:rPr>
        <w:t>Empate que no satisface a ninguno.</w:t>
      </w:r>
    </w:p>
    <w:p w:rsidR="005F7413" w:rsidRDefault="005F7413" w:rsidP="005F7413">
      <w:pPr>
        <w:pStyle w:val="ecxmsonormal"/>
        <w:shd w:val="clear" w:color="auto" w:fill="FFFFFF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Century Gothic" w:hAnsi="Century Gothic" w:cs="Tahoma"/>
          <w:color w:val="2A2A2A"/>
          <w:sz w:val="22"/>
          <w:szCs w:val="22"/>
          <w:lang w:val="es-ES"/>
        </w:rPr>
        <w:t>IDOYA – 1 PEÑA AZAGRESA 1</w:t>
      </w:r>
    </w:p>
    <w:p w:rsidR="005F7413" w:rsidRDefault="005F7413" w:rsidP="005F7413">
      <w:pPr>
        <w:pStyle w:val="ecxmsonormal"/>
        <w:shd w:val="clear" w:color="auto" w:fill="FFFFFF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IDOYA.-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Alvaro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, Sola,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Adrien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,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Zudaire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,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Sotés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, Alfonso (m. 73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Txetxu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),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Olav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 (m. 55 Iñigo Felones), Alex,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Ioseba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 (m. 70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Aramendía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>), Torres, Borja</w:t>
      </w:r>
    </w:p>
    <w:p w:rsidR="005F7413" w:rsidRDefault="005F7413" w:rsidP="005F7413">
      <w:pPr>
        <w:pStyle w:val="ecxmsonormal"/>
        <w:shd w:val="clear" w:color="auto" w:fill="FFFFFF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PEÑA AZAGRESA.- Javi Iñigo,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Ezquerro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, Marín (m.73 Jorge), Pablo,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Yeyu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, Gregorio, Astor (m. 76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Hector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), Mikel,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Dani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 Pastor, Javier, Perruno (m. 59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Virto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). </w:t>
      </w:r>
    </w:p>
    <w:p w:rsidR="005F7413" w:rsidRDefault="005F7413" w:rsidP="005F7413">
      <w:pPr>
        <w:pStyle w:val="ecxmsonormal"/>
        <w:shd w:val="clear" w:color="auto" w:fill="FFFFFF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ARBITRO.-. Recio asistido por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Cornago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 y Osta. Buen arbitraje aunque un poco riguroso con las tarjetas.</w:t>
      </w:r>
    </w:p>
    <w:p w:rsidR="005F7413" w:rsidRDefault="005F7413" w:rsidP="005F7413">
      <w:pPr>
        <w:pStyle w:val="ecxmsonormal"/>
        <w:shd w:val="clear" w:color="auto" w:fill="FFFFFF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Amarillas: Por el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Idoya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,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Adrien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 (m. 37),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Sotés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 (m. 50), Alfonso (m. 68), Alex (m. 83) y Felones (m. 84) y por la Peña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Azagresa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>, Perruno (m. 41) y Marín (m. 57).</w:t>
      </w:r>
    </w:p>
    <w:p w:rsidR="005F7413" w:rsidRDefault="005F7413" w:rsidP="005F7413">
      <w:pPr>
        <w:pStyle w:val="ecxmsonormal"/>
        <w:shd w:val="clear" w:color="auto" w:fill="FFFFFF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Goles.- 1-0 m. 1 Alfonso 1-1 m. 10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Astor</w:t>
      </w:r>
      <w:proofErr w:type="spellEnd"/>
    </w:p>
    <w:p w:rsidR="005F7413" w:rsidRDefault="005F7413" w:rsidP="005F7413">
      <w:pPr>
        <w:pStyle w:val="ecxmsonormal"/>
        <w:shd w:val="clear" w:color="auto" w:fill="FFFFFF"/>
        <w:jc w:val="both"/>
        <w:rPr>
          <w:rFonts w:ascii="Tahoma" w:hAnsi="Tahoma" w:cs="Tahoma"/>
          <w:color w:val="2A2A2A"/>
          <w:sz w:val="20"/>
          <w:szCs w:val="20"/>
        </w:rPr>
      </w:pP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Iturtxipia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>.-  Unos 300 espectadores. Campo en buen estado y agradable temperatura.</w:t>
      </w:r>
    </w:p>
    <w:p w:rsidR="005F7413" w:rsidRDefault="005F7413" w:rsidP="005F7413">
      <w:pPr>
        <w:pStyle w:val="ecxmsonormal"/>
        <w:shd w:val="clear" w:color="auto" w:fill="FFFFFF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No podían comenzar mejor las cosas para el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Idoya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, que se adelantó en la primera jugada del partido por medio de Alfonso que definía con un gran disparo raso, un buen centro de Sola a los 30 segundos de partido.  Poco duró la alegría para los locales, Astor en el minuto 10, se revolvía en el área deshaciéndose de su par y con la izquierda la colocaba en la escuadra de la portería defendida por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Alvaro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. A partir de ahí, no ha habido un claro dominador de la primera parte y ambos equipos han dispuesto de buenas ocasiones.  La primera de nuevo para Alfonso, ponía la réplica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Dani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 Pastor, dentro del área cruzaba demasiado un disparo. Álvaro en primera instancia y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Sotés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 en el rechace tuvieron que emplearse a fondo para sacar el balón en una falta lateral que a poco acaba en gol. A partir de aquí el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Idoya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 se estiró y buscó por las bandas adelantarse. Joseba dentro del área a centro de Borja no acertaba a rematar y después Borja a centro de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Ioseba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 remataba desde el punto de penalti a la izquierda de Javi Iñigo.</w:t>
      </w:r>
    </w:p>
    <w:p w:rsidR="005F7413" w:rsidRDefault="005F7413" w:rsidP="005F7413">
      <w:pPr>
        <w:pStyle w:val="ecxmsonormal"/>
        <w:shd w:val="clear" w:color="auto" w:fill="FFFFFF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La segunda parte tuvo un dominador más claro, el equipo local, que buscó con más fe que cabeza el gol, mientras que la Peña, ordenada, defendía y buscaba desnivelar el partido a la contra. La mejor ocasión local fue en el m. 65 para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Ioseba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 que controlaba un balón largo de Sola y se plantaba delante de Javi Iñigo, remató raso pero la paró muy bien el portero visitante. A los pocos minutos, Iñigo Felones se sacaba un zurdazo de fuera del área que acertó a despejar el portero con una gran estirada.  Por parte de los pupilos de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Ganboa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, la ocasión más clara fue para Javier, que recogió un rechace de la defensa local y envió al travesaño. El partido se rompió en los últimos minutos y cualquiera de los dos equipos pudo llevarse el partido, con un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Idoya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 volcado al ataque y una Peña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Azagresa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 que aprovechaba muy bien los contragolpes.</w:t>
      </w:r>
    </w:p>
    <w:p w:rsidR="005F7413" w:rsidRDefault="005F7413" w:rsidP="005F7413">
      <w:pPr>
        <w:pStyle w:val="ecxmsonormal"/>
        <w:shd w:val="clear" w:color="auto" w:fill="FFFFFF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Century Gothic" w:hAnsi="Century Gothic" w:cs="Tahoma"/>
          <w:color w:val="2A2A2A"/>
          <w:sz w:val="22"/>
          <w:szCs w:val="22"/>
          <w:lang w:val="es-ES"/>
        </w:rPr>
        <w:t> </w:t>
      </w:r>
    </w:p>
    <w:p w:rsidR="005F7413" w:rsidRDefault="005F7413" w:rsidP="005F7413">
      <w:pPr>
        <w:pStyle w:val="ecxmsonormal"/>
        <w:shd w:val="clear" w:color="auto" w:fill="FFFFFF"/>
        <w:jc w:val="both"/>
        <w:rPr>
          <w:rFonts w:ascii="Tahoma" w:hAnsi="Tahoma" w:cs="Tahoma"/>
          <w:color w:val="2A2A2A"/>
          <w:sz w:val="20"/>
          <w:szCs w:val="20"/>
        </w:rPr>
      </w:pPr>
      <w:r>
        <w:rPr>
          <w:rFonts w:ascii="Century Gothic" w:hAnsi="Century Gothic" w:cs="Tahoma"/>
          <w:color w:val="2A2A2A"/>
          <w:sz w:val="22"/>
          <w:szCs w:val="22"/>
          <w:lang w:val="es-ES"/>
        </w:rPr>
        <w:lastRenderedPageBreak/>
        <w:t xml:space="preserve">Animar desde estas líneas a los jugadores, técnicos y afición local, con esta actitud y juego saldremos adelante. </w:t>
      </w:r>
    </w:p>
    <w:p w:rsidR="005F7413" w:rsidRDefault="005F7413" w:rsidP="005F7413">
      <w:pPr>
        <w:pStyle w:val="ecxmsonormal"/>
        <w:shd w:val="clear" w:color="auto" w:fill="FFFFFF"/>
        <w:rPr>
          <w:rFonts w:ascii="Tahoma" w:hAnsi="Tahoma" w:cs="Tahoma"/>
          <w:color w:val="2A2A2A"/>
          <w:sz w:val="20"/>
          <w:szCs w:val="20"/>
        </w:rPr>
      </w:pPr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David </w:t>
      </w:r>
      <w:proofErr w:type="spellStart"/>
      <w:r>
        <w:rPr>
          <w:rFonts w:ascii="Century Gothic" w:hAnsi="Century Gothic" w:cs="Tahoma"/>
          <w:color w:val="2A2A2A"/>
          <w:sz w:val="22"/>
          <w:szCs w:val="22"/>
          <w:lang w:val="es-ES"/>
        </w:rPr>
        <w:t>Arzoz</w:t>
      </w:r>
      <w:proofErr w:type="spellEnd"/>
      <w:r>
        <w:rPr>
          <w:rFonts w:ascii="Century Gothic" w:hAnsi="Century Gothic" w:cs="Tahoma"/>
          <w:color w:val="2A2A2A"/>
          <w:sz w:val="22"/>
          <w:szCs w:val="22"/>
          <w:lang w:val="es-ES"/>
        </w:rPr>
        <w:t xml:space="preserve"> Vaca.</w:t>
      </w:r>
    </w:p>
    <w:p w:rsidR="00BD7E32" w:rsidRPr="005F7413" w:rsidRDefault="00BD7E32" w:rsidP="005F7413"/>
    <w:sectPr w:rsidR="00BD7E32" w:rsidRPr="005F7413" w:rsidSect="00185A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4576"/>
    <w:multiLevelType w:val="multilevel"/>
    <w:tmpl w:val="B4D4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B10"/>
    <w:rsid w:val="00063037"/>
    <w:rsid w:val="00185A9A"/>
    <w:rsid w:val="0040158F"/>
    <w:rsid w:val="00494A4F"/>
    <w:rsid w:val="005749C3"/>
    <w:rsid w:val="005B0B10"/>
    <w:rsid w:val="005F7413"/>
    <w:rsid w:val="00BD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A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B0B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BD7E32"/>
    <w:pPr>
      <w:spacing w:after="0" w:line="240" w:lineRule="auto"/>
    </w:pPr>
  </w:style>
  <w:style w:type="paragraph" w:customStyle="1" w:styleId="ecxmsonormal">
    <w:name w:val="ecxmsonormal"/>
    <w:basedOn w:val="Normal"/>
    <w:rsid w:val="005F741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56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1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0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40504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2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79558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668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02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5</cp:revision>
  <dcterms:created xsi:type="dcterms:W3CDTF">2012-09-23T11:34:00Z</dcterms:created>
  <dcterms:modified xsi:type="dcterms:W3CDTF">2012-10-12T20:28:00Z</dcterms:modified>
</cp:coreProperties>
</file>